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rsidRPr="00A903EE" w14:paraId="1EF2B307" w14:textId="77777777" w:rsidTr="005674A6">
        <w:trPr>
          <w:trHeight w:val="1905"/>
        </w:trPr>
        <w:tc>
          <w:tcPr>
            <w:tcW w:w="5382" w:type="dxa"/>
            <w:shd w:val="clear" w:color="auto" w:fill="auto"/>
          </w:tcPr>
          <w:p w14:paraId="44CBCECB" w14:textId="77777777" w:rsidR="00D40650" w:rsidRPr="00A903EE" w:rsidRDefault="001E36A8" w:rsidP="00DF44DF">
            <w:pPr>
              <w:pStyle w:val="TableContents"/>
              <w:rPr>
                <w:b/>
              </w:rPr>
            </w:pPr>
            <w:r w:rsidRPr="00A903EE">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6008E4A" w:rsidR="00BC1A62" w:rsidRPr="00A903EE" w:rsidRDefault="00BC1A62" w:rsidP="00F25253">
            <w:pPr>
              <w:pStyle w:val="AK"/>
              <w:rPr>
                <w:sz w:val="24"/>
                <w:szCs w:val="24"/>
              </w:rPr>
            </w:pPr>
          </w:p>
        </w:tc>
      </w:tr>
      <w:tr w:rsidR="00D40650" w:rsidRPr="00A903EE" w14:paraId="5E629B86" w14:textId="77777777" w:rsidTr="005674A6">
        <w:trPr>
          <w:trHeight w:val="1985"/>
        </w:trPr>
        <w:tc>
          <w:tcPr>
            <w:tcW w:w="5382" w:type="dxa"/>
            <w:shd w:val="clear" w:color="auto" w:fill="auto"/>
          </w:tcPr>
          <w:p w14:paraId="00B222F5" w14:textId="77E43873" w:rsidR="003B2A9C" w:rsidRPr="00A903EE" w:rsidRDefault="003B2A9C" w:rsidP="00BF4D7C">
            <w:pPr>
              <w:pStyle w:val="Adressaat"/>
              <w:rPr>
                <w:iCs/>
              </w:rPr>
            </w:pPr>
          </w:p>
        </w:tc>
        <w:tc>
          <w:tcPr>
            <w:tcW w:w="3690" w:type="dxa"/>
            <w:shd w:val="clear" w:color="auto" w:fill="auto"/>
          </w:tcPr>
          <w:p w14:paraId="40D65C90" w14:textId="77777777" w:rsidR="00BF4D7C" w:rsidRPr="00A903EE" w:rsidRDefault="00BF4D7C" w:rsidP="00577791">
            <w:pPr>
              <w:jc w:val="left"/>
            </w:pPr>
          </w:p>
          <w:p w14:paraId="7AA9C7CA" w14:textId="41CB98D9" w:rsidR="003B2A9C" w:rsidRPr="00A903EE" w:rsidRDefault="00124999" w:rsidP="00577791">
            <w:pPr>
              <w:jc w:val="left"/>
            </w:pPr>
            <w:r w:rsidRPr="00A903EE">
              <w:t>Meie</w:t>
            </w:r>
            <w:r w:rsidR="00551E44" w:rsidRPr="00A903EE">
              <w:t xml:space="preserve"> </w:t>
            </w:r>
            <w:r w:rsidR="00D63DE2" w:rsidRPr="00A903EE">
              <w:fldChar w:fldCharType="begin"/>
            </w:r>
            <w:r w:rsidR="0013548C">
              <w:instrText xml:space="preserve"> delta_regDateTime  \* MERGEFORMAT</w:instrText>
            </w:r>
            <w:r w:rsidR="00D63DE2" w:rsidRPr="00A903EE">
              <w:fldChar w:fldCharType="separate"/>
            </w:r>
            <w:r w:rsidR="0013548C">
              <w:t>10.10.2024</w:t>
            </w:r>
            <w:r w:rsidR="00D63DE2" w:rsidRPr="00A903EE">
              <w:fldChar w:fldCharType="end"/>
            </w:r>
            <w:r w:rsidR="00904F2F" w:rsidRPr="00A903EE">
              <w:t xml:space="preserve"> nr </w:t>
            </w:r>
            <w:r w:rsidR="00D63DE2" w:rsidRPr="00A903EE">
              <w:fldChar w:fldCharType="begin"/>
            </w:r>
            <w:r w:rsidR="0013548C">
              <w:instrText xml:space="preserve"> delta_regNumber  \* MERGEFORMAT</w:instrText>
            </w:r>
            <w:r w:rsidR="00D63DE2" w:rsidRPr="00A903EE">
              <w:fldChar w:fldCharType="separate"/>
            </w:r>
            <w:r w:rsidR="0013548C">
              <w:t>20-1.5/3025-1</w:t>
            </w:r>
            <w:r w:rsidR="00D63DE2" w:rsidRPr="00A903EE">
              <w:fldChar w:fldCharType="end"/>
            </w:r>
          </w:p>
        </w:tc>
      </w:tr>
    </w:tbl>
    <w:p w14:paraId="03A00E2E" w14:textId="77777777" w:rsidR="00D63DE2" w:rsidRPr="00A903EE" w:rsidRDefault="00D63DE2" w:rsidP="00D63DE2">
      <w:pPr>
        <w:rPr>
          <w:b/>
        </w:rPr>
      </w:pPr>
      <w:r w:rsidRPr="00A903EE">
        <w:rPr>
          <w:b/>
        </w:rPr>
        <w:t>Väikeostu „Analüüs: PPA väärteomenetluse andmeanalüüsiks vajalike andmete ning PPA andmelao väärtegude aruannete ja nende aluseks olevate andmelettide analüüs“ tehniline kirjeldus</w:t>
      </w:r>
    </w:p>
    <w:p w14:paraId="2E4CB5C1" w14:textId="77777777" w:rsidR="00D63DE2" w:rsidRPr="00A903EE" w:rsidRDefault="00D63DE2" w:rsidP="00D63DE2"/>
    <w:p w14:paraId="4FE58C0C" w14:textId="77777777" w:rsidR="00D63DE2" w:rsidRPr="00A903EE" w:rsidRDefault="00D63DE2" w:rsidP="00D63DE2">
      <w:pPr>
        <w:rPr>
          <w:b/>
        </w:rPr>
      </w:pPr>
      <w:r w:rsidRPr="00A903EE">
        <w:rPr>
          <w:b/>
        </w:rPr>
        <w:t>Taust</w:t>
      </w:r>
    </w:p>
    <w:p w14:paraId="343A8785" w14:textId="77777777" w:rsidR="00D63DE2" w:rsidRPr="00A903EE" w:rsidRDefault="00D63DE2" w:rsidP="00D63DE2"/>
    <w:p w14:paraId="446DC704" w14:textId="77777777" w:rsidR="00D63DE2" w:rsidRPr="00A903EE" w:rsidRDefault="00D63DE2" w:rsidP="00D63DE2">
      <w:r w:rsidRPr="00A903EE">
        <w:t xml:space="preserve">Politsei-ja Piirivalveamet (edaspidi </w:t>
      </w:r>
      <w:r w:rsidRPr="00A903EE">
        <w:rPr>
          <w:i/>
        </w:rPr>
        <w:t>Hankija</w:t>
      </w:r>
      <w:r w:rsidRPr="00A903EE">
        <w:t xml:space="preserve">) kasutab väärteomenetluse läbiviimiseks igapäevaselt menetluse infosüsteemi (edaspidi </w:t>
      </w:r>
      <w:r w:rsidRPr="00A903EE">
        <w:rPr>
          <w:i/>
        </w:rPr>
        <w:t>MIS</w:t>
      </w:r>
      <w:r w:rsidRPr="00A903EE">
        <w:t xml:space="preserve">), mis on loodud 16 aastat tagasi. Samal ajal loodi ka andmelaoinfosüsteemi ALIS väärtegude aruandlus, mis baseerub MIS-i väärteomenetluse raames kogutud andmetel. </w:t>
      </w:r>
    </w:p>
    <w:p w14:paraId="4278CC27" w14:textId="77777777" w:rsidR="00D63DE2" w:rsidRPr="00A903EE" w:rsidRDefault="00D63DE2" w:rsidP="00D63DE2"/>
    <w:p w14:paraId="2F3CDCFE" w14:textId="77777777" w:rsidR="00D63DE2" w:rsidRPr="00A903EE" w:rsidRDefault="00D63DE2" w:rsidP="00D63DE2">
      <w:r w:rsidRPr="00A903EE">
        <w:t>Väärtegude aruandlus koosneb 13 aruandest, millest 9 on unikaalsed ja ülejäänud 4 unikaalsete aruannete laiendused. Unikaalsuse all mõistetakse aruande tehnilist ülesehitust. Aruannete juurde kuuluvad ka seletuskirjad, mille sisu ja kvaliteeti on vaja hinnata. Hankija on teinud 2024 aastal kiiranalüüsi aruannete kasutatavuse ja sisu kohta, mida jagatakse ka tööde teostajaga.</w:t>
      </w:r>
    </w:p>
    <w:p w14:paraId="4CF6DA88" w14:textId="77777777" w:rsidR="00D63DE2" w:rsidRPr="00A903EE" w:rsidRDefault="00D63DE2" w:rsidP="00D63DE2"/>
    <w:p w14:paraId="352A8094" w14:textId="77777777" w:rsidR="00D63DE2" w:rsidRPr="00A903EE" w:rsidRDefault="00D63DE2" w:rsidP="00D63DE2">
      <w:r w:rsidRPr="00A903EE">
        <w:t>Väärtegude aruannete aluseks on 5 andmeletti. Andmelettidel puudub või on aegunud dokumentatsioon, mistõttu ei ole andmelaol domeeniteadlikkust. Andmelettide keskmine igaöine laadimisaeg on 30 minutit (19 kuu statistika põhjal), mis ei ole andmemahtu arvesse võttes kindlasti optimaalne. Lisaks ei ole andmelettide juures arusaadav, mis on nende põhiobjektideks ehk unikaalseks statistiliseks üksuseks.</w:t>
      </w:r>
    </w:p>
    <w:p w14:paraId="3A937A31" w14:textId="77777777" w:rsidR="00D63DE2" w:rsidRPr="00A903EE" w:rsidRDefault="00D63DE2" w:rsidP="00D63DE2"/>
    <w:p w14:paraId="46C38E21" w14:textId="77777777" w:rsidR="00D63DE2" w:rsidRPr="00A903EE" w:rsidRDefault="00D63DE2" w:rsidP="00D63DE2"/>
    <w:p w14:paraId="57306A25" w14:textId="77777777" w:rsidR="00D63DE2" w:rsidRPr="00A903EE" w:rsidRDefault="00D63DE2" w:rsidP="00D63DE2"/>
    <w:p w14:paraId="7764E554" w14:textId="77777777" w:rsidR="00D63DE2" w:rsidRPr="00A903EE" w:rsidRDefault="00D63DE2" w:rsidP="00D63DE2">
      <w:pPr>
        <w:pStyle w:val="ListParagraph"/>
        <w:numPr>
          <w:ilvl w:val="0"/>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Töö sisu</w:t>
      </w:r>
    </w:p>
    <w:p w14:paraId="74BECA30" w14:textId="77777777" w:rsidR="00D63DE2" w:rsidRPr="00A903EE" w:rsidRDefault="00D63DE2" w:rsidP="00D63DE2">
      <w:pPr>
        <w:pStyle w:val="ListParagraph"/>
        <w:numPr>
          <w:ilvl w:val="1"/>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Tellitavaks töö tulemiks on analüüsidokument, kus peavad olema kirjeldatud:</w:t>
      </w:r>
    </w:p>
    <w:p w14:paraId="565F8B3F"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hetkel kasutuses olevad aruanded ja nende andmepositsioonid;</w:t>
      </w:r>
    </w:p>
    <w:p w14:paraId="2A6DDAD0"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hetkel kasutuses olevad andmeletid ja nende andmepositsioonid;</w:t>
      </w:r>
    </w:p>
    <w:p w14:paraId="537018C1"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millised on väärteomenetlusega seotud statistilised üksused, mille kohta Hankija vajab aruandlust;</w:t>
      </w:r>
    </w:p>
    <w:p w14:paraId="0E7290FD"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kas olemasolevad andmeletid ja nende peale ehitatud aruanded koos dokumentatsiooniga katavad tänaseid vajadusi;</w:t>
      </w:r>
    </w:p>
    <w:p w14:paraId="5C30EA76"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juhul kui Hankija vajadused ei ole kaetud, siis millised muudatused tuleb teha ALIS-e andmelettides ja aruannetes ning</w:t>
      </w:r>
    </w:p>
    <w:p w14:paraId="5B9FA5AE" w14:textId="77777777" w:rsidR="00D63DE2" w:rsidRPr="00A903EE" w:rsidRDefault="00D63DE2" w:rsidP="00D63DE2">
      <w:pPr>
        <w:pStyle w:val="ListParagraph"/>
        <w:numPr>
          <w:ilvl w:val="2"/>
          <w:numId w:val="7"/>
        </w:numPr>
        <w:spacing w:after="0" w:line="240" w:lineRule="auto"/>
        <w:rPr>
          <w:rFonts w:ascii="Times New Roman" w:hAnsi="Times New Roman" w:cs="Times New Roman"/>
          <w:sz w:val="24"/>
          <w:szCs w:val="24"/>
        </w:rPr>
      </w:pPr>
      <w:r w:rsidRPr="00A903EE">
        <w:rPr>
          <w:rFonts w:ascii="Times New Roman" w:hAnsi="Times New Roman" w:cs="Times New Roman"/>
          <w:sz w:val="24"/>
          <w:szCs w:val="24"/>
        </w:rPr>
        <w:t xml:space="preserve">milline peab olema andmelettide disain, et tõsta laadimisprotseduuride kiirust. </w:t>
      </w:r>
    </w:p>
    <w:p w14:paraId="16A3E4DF" w14:textId="77777777" w:rsidR="00D63DE2" w:rsidRPr="00A903EE" w:rsidRDefault="00D63DE2" w:rsidP="00D63DE2"/>
    <w:p w14:paraId="288FFEA1" w14:textId="77777777" w:rsidR="00D63DE2" w:rsidRPr="00A903EE" w:rsidRDefault="00D63DE2" w:rsidP="00D63DE2"/>
    <w:p w14:paraId="37282222" w14:textId="77777777" w:rsidR="00D63DE2" w:rsidRPr="00A903EE" w:rsidRDefault="00D63DE2" w:rsidP="00D63DE2">
      <w:pPr>
        <w:ind w:left="360"/>
      </w:pPr>
      <w:r w:rsidRPr="00A903EE">
        <w:lastRenderedPageBreak/>
        <w:t>Täpsustavad nõuded (punktide 1.1.1.; 1.1.2. ja 1.1.5 juurde):</w:t>
      </w:r>
    </w:p>
    <w:p w14:paraId="19B23C4F" w14:textId="77777777" w:rsidR="00D63DE2" w:rsidRPr="00A903EE" w:rsidRDefault="00D63DE2" w:rsidP="00D63DE2">
      <w:pPr>
        <w:ind w:left="360"/>
      </w:pPr>
    </w:p>
    <w:p w14:paraId="65C060E3" w14:textId="77777777" w:rsidR="00D63DE2" w:rsidRPr="00A903EE" w:rsidRDefault="00D63DE2" w:rsidP="00D63DE2">
      <w:pPr>
        <w:pStyle w:val="ListParagraph"/>
        <w:numPr>
          <w:ilvl w:val="2"/>
          <w:numId w:val="8"/>
        </w:numPr>
        <w:spacing w:after="0" w:line="240" w:lineRule="auto"/>
        <w:ind w:hanging="798"/>
        <w:jc w:val="both"/>
        <w:rPr>
          <w:rFonts w:ascii="Times New Roman" w:hAnsi="Times New Roman" w:cs="Times New Roman"/>
          <w:sz w:val="24"/>
          <w:szCs w:val="24"/>
        </w:rPr>
      </w:pPr>
      <w:r w:rsidRPr="00A903EE">
        <w:rPr>
          <w:rFonts w:ascii="Times New Roman" w:hAnsi="Times New Roman" w:cs="Times New Roman"/>
          <w:sz w:val="24"/>
          <w:szCs w:val="24"/>
        </w:rPr>
        <w:t>Kirjelduse vorm ei ole rangelt fikseeritud, aga sisu peab hõlmama tabeli kujul järgmisi punkte:</w:t>
      </w:r>
    </w:p>
    <w:p w14:paraId="2051DB87" w14:textId="77777777" w:rsidR="00D63DE2" w:rsidRPr="00A903EE" w:rsidRDefault="00D63DE2" w:rsidP="00D63DE2">
      <w:pPr>
        <w:pStyle w:val="ListParagraph"/>
        <w:numPr>
          <w:ilvl w:val="0"/>
          <w:numId w:val="9"/>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Kas aruande nimi vastab aruande väljundile?</w:t>
      </w:r>
    </w:p>
    <w:p w14:paraId="7F5F9591" w14:textId="77777777" w:rsidR="00D63DE2" w:rsidRPr="00A903EE" w:rsidRDefault="00D63DE2" w:rsidP="00D63DE2">
      <w:pPr>
        <w:pStyle w:val="ListParagraph"/>
        <w:numPr>
          <w:ilvl w:val="0"/>
          <w:numId w:val="9"/>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Kas aruandel on olemas seletuskiri, mille sisu on korrektne?</w:t>
      </w:r>
    </w:p>
    <w:p w14:paraId="10F9DF7A" w14:textId="77777777" w:rsidR="00D63DE2" w:rsidRPr="00A903EE" w:rsidRDefault="00D63DE2" w:rsidP="00D63DE2">
      <w:pPr>
        <w:pStyle w:val="ListParagraph"/>
        <w:numPr>
          <w:ilvl w:val="0"/>
          <w:numId w:val="9"/>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 xml:space="preserve">Kas aruande väljund (olemasolul ka detailkirjete väljund) on Hankija vajadustele vastav? </w:t>
      </w:r>
    </w:p>
    <w:p w14:paraId="5CFF1247" w14:textId="77777777" w:rsidR="00D63DE2" w:rsidRPr="00A903EE" w:rsidRDefault="00D63DE2" w:rsidP="00D63DE2">
      <w:pPr>
        <w:pStyle w:val="ListParagraph"/>
        <w:numPr>
          <w:ilvl w:val="0"/>
          <w:numId w:val="9"/>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Aruande andmepositsioonid ja nende allikas.</w:t>
      </w:r>
    </w:p>
    <w:p w14:paraId="406D0828" w14:textId="77777777" w:rsidR="00D63DE2" w:rsidRPr="00A903EE" w:rsidRDefault="00D63DE2" w:rsidP="00D63DE2">
      <w:pPr>
        <w:pStyle w:val="ListParagraph"/>
        <w:numPr>
          <w:ilvl w:val="2"/>
          <w:numId w:val="8"/>
        </w:numPr>
        <w:spacing w:after="0" w:line="240" w:lineRule="auto"/>
        <w:ind w:left="1276" w:hanging="850"/>
        <w:jc w:val="both"/>
        <w:rPr>
          <w:rFonts w:ascii="Times New Roman" w:hAnsi="Times New Roman" w:cs="Times New Roman"/>
          <w:sz w:val="24"/>
          <w:szCs w:val="24"/>
        </w:rPr>
      </w:pPr>
      <w:r w:rsidRPr="00A903EE">
        <w:rPr>
          <w:rFonts w:ascii="Times New Roman" w:hAnsi="Times New Roman" w:cs="Times New Roman"/>
          <w:sz w:val="24"/>
          <w:szCs w:val="24"/>
        </w:rPr>
        <w:t>Kirjelduse vorm ei ole rangelt fikseeritud, aga sisu peab hõlmama tabeli kujul järgmisi punkte:</w:t>
      </w:r>
    </w:p>
    <w:p w14:paraId="31DEC29F" w14:textId="77777777" w:rsidR="00D63DE2" w:rsidRPr="00A903EE" w:rsidRDefault="00D63DE2" w:rsidP="00D63DE2">
      <w:pPr>
        <w:pStyle w:val="ListParagraph"/>
        <w:numPr>
          <w:ilvl w:val="0"/>
          <w:numId w:val="10"/>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Mis on andmeleti statistiline üksus?</w:t>
      </w:r>
    </w:p>
    <w:p w14:paraId="49DD0A4E" w14:textId="77777777" w:rsidR="00D63DE2" w:rsidRPr="00A903EE" w:rsidRDefault="00D63DE2" w:rsidP="00D63DE2">
      <w:pPr>
        <w:pStyle w:val="ListParagraph"/>
        <w:numPr>
          <w:ilvl w:val="0"/>
          <w:numId w:val="10"/>
        </w:numPr>
        <w:spacing w:after="0" w:line="240" w:lineRule="auto"/>
        <w:jc w:val="both"/>
        <w:rPr>
          <w:rFonts w:ascii="Times New Roman" w:hAnsi="Times New Roman" w:cs="Times New Roman"/>
          <w:sz w:val="24"/>
          <w:szCs w:val="24"/>
        </w:rPr>
      </w:pPr>
      <w:r w:rsidRPr="00A903EE">
        <w:rPr>
          <w:rFonts w:ascii="Times New Roman" w:hAnsi="Times New Roman" w:cs="Times New Roman"/>
          <w:sz w:val="24"/>
          <w:szCs w:val="24"/>
        </w:rPr>
        <w:t>Andmepositsioonid ja nende allikas.</w:t>
      </w:r>
    </w:p>
    <w:p w14:paraId="3FE1232F" w14:textId="77777777" w:rsidR="00D63DE2" w:rsidRPr="00A903EE" w:rsidRDefault="00D63DE2" w:rsidP="00D63DE2">
      <w:pPr>
        <w:ind w:left="1276" w:hanging="850"/>
      </w:pPr>
      <w:r w:rsidRPr="00A903EE">
        <w:t xml:space="preserve">1.1.5. </w:t>
      </w:r>
      <w:r w:rsidRPr="00A903EE">
        <w:tab/>
        <w:t>Vajalike muudatuste ülevaade andmelettides (loetelu vormis). Andmeleti    muudatused peavad olema kirjeldatud tasemel, kus on välja toodud põhilised loogika muudatused, kuidas andmeobjekte omavahel siduda ning lisatud juurde, milliste objektidega on erinevad andmed seotud. Tuleb eristada töid, mida saab teha koheselt.</w:t>
      </w:r>
    </w:p>
    <w:p w14:paraId="3B0F9B8A" w14:textId="77777777" w:rsidR="00D63DE2" w:rsidRPr="00A903EE" w:rsidRDefault="00D63DE2" w:rsidP="00D63DE2"/>
    <w:p w14:paraId="60CED253" w14:textId="77777777" w:rsidR="00D63DE2" w:rsidRPr="00A903EE" w:rsidRDefault="00D63DE2" w:rsidP="00D63DE2">
      <w:pPr>
        <w:rPr>
          <w:highlight w:val="yellow"/>
        </w:rPr>
      </w:pPr>
    </w:p>
    <w:p w14:paraId="7967A825" w14:textId="77777777" w:rsidR="00D63DE2" w:rsidRPr="00A903EE" w:rsidRDefault="00D63DE2" w:rsidP="00D63DE2">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Täpne loetelu analüüsitavatest aruannetest ja andmelettidest on toodud Lisas 1. Allikateks olevate andmelettide ja teiste tabelite täpset andmestruktuuri jagatakse pakkumuse võitjaga.</w:t>
      </w:r>
    </w:p>
    <w:p w14:paraId="18AA8629" w14:textId="72993FA8" w:rsidR="00D63DE2" w:rsidRDefault="00D63DE2" w:rsidP="00D63DE2">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Töö tulemi saavutamiseks tuleb teha kohtumisi hankija sisupoolega ning SMIT-i analüütika meeskonnaga. Analüüsi läbiviimiseks on olemas töökoht koos vajalike vahenditega Politsei -ja Piirivalveametis  (asukoht Pärnu mnt. 139, Tallinn). Analüüsikoosolekuid Hankijaga ja analüüsidokumendi kirjutamist on võimalik läbi viia kaugligipääsu teel. Kaugligipääsu võimalus testkeskkonnas andmete ja aruannete analüüsiks on olemas.</w:t>
      </w:r>
    </w:p>
    <w:p w14:paraId="7C2C0BF6" w14:textId="18119687" w:rsidR="00675243" w:rsidRPr="00A903EE" w:rsidRDefault="00675243" w:rsidP="00D63DE2">
      <w:pPr>
        <w:pStyle w:val="ListParagraph"/>
        <w:numPr>
          <w:ilvl w:val="0"/>
          <w:numId w:val="11"/>
        </w:numPr>
        <w:spacing w:after="120" w:line="240" w:lineRule="auto"/>
        <w:ind w:left="993" w:hanging="567"/>
        <w:jc w:val="both"/>
        <w:rPr>
          <w:rFonts w:ascii="Times New Roman" w:hAnsi="Times New Roman" w:cs="Times New Roman"/>
          <w:sz w:val="24"/>
          <w:szCs w:val="24"/>
        </w:rPr>
      </w:pPr>
      <w:r w:rsidRPr="00675243">
        <w:rPr>
          <w:rFonts w:ascii="Times New Roman" w:hAnsi="Times New Roman" w:cs="Times New Roman"/>
          <w:sz w:val="24"/>
          <w:szCs w:val="24"/>
        </w:rPr>
        <w:t>Edukale pakkujale teostatakse vastavalt PPVS-i § 7</w:t>
      </w:r>
      <w:r w:rsidRPr="00C933DC">
        <w:rPr>
          <w:rFonts w:ascii="Times New Roman" w:hAnsi="Times New Roman" w:cs="Times New Roman"/>
          <w:sz w:val="24"/>
          <w:szCs w:val="24"/>
          <w:vertAlign w:val="superscript"/>
        </w:rPr>
        <w:t>59</w:t>
      </w:r>
      <w:r w:rsidRPr="00675243">
        <w:rPr>
          <w:rFonts w:ascii="Times New Roman" w:hAnsi="Times New Roman" w:cs="Times New Roman"/>
          <w:sz w:val="24"/>
          <w:szCs w:val="24"/>
        </w:rPr>
        <w:t xml:space="preserve"> lõige 1 punkt 2 alusel taustakontroll.</w:t>
      </w:r>
    </w:p>
    <w:p w14:paraId="4D0DF655" w14:textId="77777777" w:rsidR="00CD6D79" w:rsidRPr="00A903EE" w:rsidRDefault="00D63DE2" w:rsidP="00CD6D79">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Tööd peavad olema teostatud ja üle antud 20.12.2024 kuupäevaks.</w:t>
      </w:r>
    </w:p>
    <w:p w14:paraId="7A5EB5F9" w14:textId="06C19F6E" w:rsidR="00D63DE2" w:rsidRPr="00A903EE" w:rsidRDefault="00D63DE2" w:rsidP="00CD6D79">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Tööde teostamise järgselt tuleb esitada arve e-arvete keskkonnas.</w:t>
      </w:r>
      <w:r w:rsidR="00CD6D79" w:rsidRPr="00A903EE">
        <w:rPr>
          <w:rFonts w:ascii="Times New Roman" w:hAnsi="Times New Roman" w:cs="Times New Roman"/>
          <w:sz w:val="24"/>
          <w:szCs w:val="24"/>
        </w:rPr>
        <w:t xml:space="preserve"> Pakkuja esitatav arve peab vastama käibemaksuseaduse nõuetele, sisaldama </w:t>
      </w:r>
      <w:r w:rsidR="00CD6D79" w:rsidRPr="00A903EE">
        <w:rPr>
          <w:rFonts w:ascii="Times New Roman" w:hAnsi="Times New Roman" w:cs="Times New Roman"/>
          <w:b/>
          <w:sz w:val="24"/>
          <w:szCs w:val="24"/>
        </w:rPr>
        <w:t>hankija kontaktisiku nime ja kirjaliku lepingu olemasolul tuleb viidata lepingu numbrile</w:t>
      </w:r>
      <w:r w:rsidR="00CD6D79" w:rsidRPr="00A903EE">
        <w:rPr>
          <w:rFonts w:ascii="Times New Roman" w:hAnsi="Times New Roman" w:cs="Times New Roman"/>
          <w:sz w:val="24"/>
          <w:szCs w:val="24"/>
        </w:rPr>
        <w:t>.</w:t>
      </w:r>
    </w:p>
    <w:p w14:paraId="1E780B38" w14:textId="77777777" w:rsidR="00D63DE2" w:rsidRPr="00A903EE" w:rsidRDefault="00D63DE2" w:rsidP="00D63DE2">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 xml:space="preserve">Pakkumuse kogumaksumus peab sisaldama kõiki tasusid, mis on vajalikud tööde nõuetekohaseks teostamiseks. Pakkumuse kogumaksumus ei tohi olla suurem kui 16 390,00 eurot ilma käibemaksuta. </w:t>
      </w:r>
    </w:p>
    <w:p w14:paraId="7E531D43" w14:textId="77777777" w:rsidR="00D63DE2" w:rsidRPr="00A903EE" w:rsidRDefault="00D63DE2" w:rsidP="00D63DE2">
      <w:pPr>
        <w:pStyle w:val="ListParagraph"/>
        <w:numPr>
          <w:ilvl w:val="0"/>
          <w:numId w:val="11"/>
        </w:numPr>
        <w:spacing w:after="120" w:line="240" w:lineRule="auto"/>
        <w:ind w:left="993" w:hanging="567"/>
        <w:jc w:val="both"/>
        <w:rPr>
          <w:rFonts w:ascii="Times New Roman" w:hAnsi="Times New Roman" w:cs="Times New Roman"/>
          <w:sz w:val="24"/>
          <w:szCs w:val="24"/>
        </w:rPr>
      </w:pPr>
      <w:r w:rsidRPr="00A903EE">
        <w:rPr>
          <w:rFonts w:ascii="Times New Roman" w:hAnsi="Times New Roman" w:cs="Times New Roman"/>
          <w:sz w:val="24"/>
          <w:szCs w:val="24"/>
        </w:rPr>
        <w:t>Pakkumuse esitamine:</w:t>
      </w:r>
    </w:p>
    <w:p w14:paraId="5142FEC9" w14:textId="64CD6271" w:rsidR="00CD6D79" w:rsidRPr="00A903EE" w:rsidRDefault="00D63DE2" w:rsidP="00CD6D79">
      <w:pPr>
        <w:pStyle w:val="Default"/>
        <w:numPr>
          <w:ilvl w:val="1"/>
          <w:numId w:val="11"/>
        </w:numPr>
        <w:spacing w:after="120"/>
        <w:ind w:left="993" w:hanging="426"/>
        <w:jc w:val="both"/>
      </w:pPr>
      <w:r w:rsidRPr="00A903EE">
        <w:t>Pakkumus esitada digitaalselt allkirjastatult ning seal peab olema ära toodud töid tegema hakkava analüütiku(te) andmed ning pakkumuse kogumaksumus (sh välja toodud analüüsi tegemise tunnihind).</w:t>
      </w:r>
    </w:p>
    <w:p w14:paraId="0940145B" w14:textId="57144651" w:rsidR="00D63DE2" w:rsidRPr="00A903EE" w:rsidRDefault="00D63DE2" w:rsidP="00D63DE2">
      <w:pPr>
        <w:pStyle w:val="Default"/>
        <w:numPr>
          <w:ilvl w:val="1"/>
          <w:numId w:val="11"/>
        </w:numPr>
        <w:spacing w:after="120"/>
        <w:ind w:left="993" w:hanging="426"/>
        <w:jc w:val="both"/>
      </w:pPr>
      <w:r w:rsidRPr="00A903EE">
        <w:t xml:space="preserve">Pakkumus tuleb esitada hiljemalt 21.10.2024 kell 15:00 e-posti aadressile </w:t>
      </w:r>
      <w:hyperlink r:id="rId9" w:history="1">
        <w:r w:rsidRPr="00A903EE">
          <w:rPr>
            <w:rStyle w:val="Hyperlink"/>
          </w:rPr>
          <w:t>ron.ojava@politsei.ee</w:t>
        </w:r>
      </w:hyperlink>
      <w:r w:rsidRPr="00A903EE">
        <w:t xml:space="preserve">. </w:t>
      </w:r>
    </w:p>
    <w:p w14:paraId="4577B48F" w14:textId="24142639" w:rsidR="00CD6D79" w:rsidRPr="00A903EE" w:rsidRDefault="00CD6D79" w:rsidP="00D63DE2">
      <w:pPr>
        <w:pStyle w:val="Default"/>
        <w:numPr>
          <w:ilvl w:val="1"/>
          <w:numId w:val="11"/>
        </w:numPr>
        <w:spacing w:after="120"/>
        <w:ind w:left="993" w:hanging="426"/>
        <w:jc w:val="both"/>
      </w:pPr>
      <w:r w:rsidRPr="00A903EE">
        <w:t xml:space="preserve">Hankijal on õigus pakkumuste esitamise tähtaega pikendada. </w:t>
      </w:r>
    </w:p>
    <w:p w14:paraId="3FD2633B" w14:textId="6E4F8B0F" w:rsidR="009E14DD" w:rsidRPr="00A903EE" w:rsidRDefault="009E14DD" w:rsidP="00C160D5">
      <w:pPr>
        <w:pStyle w:val="Default"/>
        <w:numPr>
          <w:ilvl w:val="1"/>
          <w:numId w:val="11"/>
        </w:numPr>
        <w:spacing w:after="120"/>
        <w:ind w:left="993" w:hanging="426"/>
        <w:jc w:val="both"/>
      </w:pPr>
      <w:r w:rsidRPr="00A903EE">
        <w:t>Pakkumus peab olema jõus 30 päeva. Hankijal on õigus teha pakkujale ettepanek pakkumuse jõusoleku tähtaega pikendada.</w:t>
      </w:r>
    </w:p>
    <w:p w14:paraId="7A59AF23" w14:textId="3FDA6F3D" w:rsidR="00D63DE2" w:rsidRPr="0074272B" w:rsidRDefault="00CD6D79" w:rsidP="00D63DE2">
      <w:pPr>
        <w:pStyle w:val="Default"/>
        <w:numPr>
          <w:ilvl w:val="1"/>
          <w:numId w:val="11"/>
        </w:numPr>
        <w:spacing w:after="120"/>
        <w:ind w:left="993" w:hanging="426"/>
        <w:jc w:val="both"/>
      </w:pPr>
      <w:r w:rsidRPr="00A903EE">
        <w:t xml:space="preserve">Vastavaks tunnistatud pakkumuste seast valib hankija eduka pakkumuse välja madalaima hinna alusel. </w:t>
      </w:r>
      <w:r w:rsidRPr="00A903EE">
        <w:rPr>
          <w:color w:val="auto"/>
        </w:rPr>
        <w:t xml:space="preserve">Juhul, kui </w:t>
      </w:r>
      <w:r w:rsidRPr="00C160D5">
        <w:rPr>
          <w:color w:val="auto"/>
        </w:rPr>
        <w:t>maksumused</w:t>
      </w:r>
      <w:r w:rsidRPr="00A903EE">
        <w:rPr>
          <w:color w:val="FF0000"/>
        </w:rPr>
        <w:t xml:space="preserve"> </w:t>
      </w:r>
      <w:r w:rsidRPr="00A903EE">
        <w:rPr>
          <w:color w:val="auto"/>
        </w:rPr>
        <w:t xml:space="preserve">on võrdsed, korraldab hankija eduka </w:t>
      </w:r>
      <w:r w:rsidRPr="00A903EE">
        <w:rPr>
          <w:color w:val="auto"/>
        </w:rPr>
        <w:lastRenderedPageBreak/>
        <w:t>pakkumuse väljaselgitamiseks liisuheitmise, võimaldades võrdse maksumusega pakkumuse esitanud pakkujatel liisuheitmise juures viibida.</w:t>
      </w:r>
    </w:p>
    <w:p w14:paraId="78C6ED75" w14:textId="77777777" w:rsidR="0074272B" w:rsidRPr="00110C05" w:rsidRDefault="0074272B" w:rsidP="0074272B">
      <w:pPr>
        <w:pStyle w:val="Default"/>
        <w:numPr>
          <w:ilvl w:val="1"/>
          <w:numId w:val="11"/>
        </w:numPr>
        <w:jc w:val="both"/>
        <w:rPr>
          <w:color w:val="auto"/>
        </w:rPr>
      </w:pPr>
      <w:r w:rsidRPr="00110C05">
        <w:rPr>
          <w:color w:val="auto"/>
        </w:rPr>
        <w:t xml:space="preserve">Hankija sõlmib eduka pakkumuse esitanud pakkujaga kirjaliku lepingu, lähtudes väikeostu dokumendis esitatud tingimustest ja eduka pakkuja pakkumusest. </w:t>
      </w:r>
    </w:p>
    <w:p w14:paraId="1EB09EC0" w14:textId="77777777" w:rsidR="0074272B" w:rsidRPr="00A1269B" w:rsidRDefault="0074272B" w:rsidP="0074272B">
      <w:pPr>
        <w:pStyle w:val="Default"/>
        <w:spacing w:after="120"/>
        <w:jc w:val="both"/>
      </w:pPr>
    </w:p>
    <w:p w14:paraId="6596BAE8" w14:textId="77777777" w:rsidR="00A1269B" w:rsidRPr="00110C05" w:rsidRDefault="00A1269B" w:rsidP="00A1269B">
      <w:pPr>
        <w:pStyle w:val="Alapealkiri1"/>
        <w:numPr>
          <w:ilvl w:val="0"/>
          <w:numId w:val="11"/>
        </w:numPr>
        <w:tabs>
          <w:tab w:val="left" w:pos="993"/>
        </w:tabs>
        <w:rPr>
          <w:rFonts w:ascii="Times New Roman" w:hAnsi="Times New Roman" w:cs="Times New Roman"/>
          <w:sz w:val="24"/>
          <w:szCs w:val="24"/>
        </w:rPr>
      </w:pPr>
      <w:r w:rsidRPr="00110C05">
        <w:rPr>
          <w:rFonts w:ascii="Times New Roman" w:hAnsi="Times New Roman" w:cs="Times New Roman"/>
          <w:sz w:val="24"/>
          <w:szCs w:val="24"/>
        </w:rPr>
        <w:t>Pakkumuste tagasi lükkamine ja väikeostu kehtetuks tunnistamine</w:t>
      </w:r>
    </w:p>
    <w:p w14:paraId="628D37E9" w14:textId="77777777" w:rsidR="00A1269B" w:rsidRPr="00110C05" w:rsidRDefault="00A1269B" w:rsidP="00A1269B">
      <w:pPr>
        <w:pStyle w:val="Default"/>
        <w:numPr>
          <w:ilvl w:val="1"/>
          <w:numId w:val="11"/>
        </w:numPr>
        <w:jc w:val="both"/>
        <w:rPr>
          <w:color w:val="auto"/>
        </w:rPr>
      </w:pPr>
      <w:r w:rsidRPr="00110C05">
        <w:rPr>
          <w:color w:val="auto"/>
        </w:rPr>
        <w:t>Hankijal on õigus kõik esitatud või vastavaks tunnistatud pakkumused tagasi lükata igal ajal enne hankelepingu sõlmimist kui esitatud pakkumuste maksumus ületab hankelepingu eeldatavat maksumust.  Kõigi pakkumuste tagasilükkamisel teeb hankija sellekohase põhjendatud otsuse.</w:t>
      </w:r>
    </w:p>
    <w:p w14:paraId="5EA6D97B" w14:textId="77777777" w:rsidR="00A1269B" w:rsidRPr="00110C05" w:rsidRDefault="00A1269B" w:rsidP="00A1269B">
      <w:pPr>
        <w:pStyle w:val="Default"/>
        <w:numPr>
          <w:ilvl w:val="1"/>
          <w:numId w:val="11"/>
        </w:numPr>
        <w:jc w:val="both"/>
        <w:rPr>
          <w:color w:val="auto"/>
        </w:rPr>
      </w:pPr>
      <w:r w:rsidRPr="00110C05">
        <w:rPr>
          <w:color w:val="auto"/>
        </w:rPr>
        <w:t>Hankija võib põhjendatud vajaduse korral omal algatusel väikeostu kehtetuks tunnistada. Põhjendatud vajaduseks võib olla eelkõige, kuid mitte ainult:</w:t>
      </w:r>
    </w:p>
    <w:p w14:paraId="41F23CD8" w14:textId="77777777" w:rsidR="00A1269B" w:rsidRPr="00110C05" w:rsidRDefault="00A1269B" w:rsidP="00A1269B">
      <w:pPr>
        <w:pStyle w:val="Default"/>
        <w:numPr>
          <w:ilvl w:val="2"/>
          <w:numId w:val="11"/>
        </w:numPr>
        <w:jc w:val="both"/>
        <w:rPr>
          <w:color w:val="auto"/>
        </w:rPr>
      </w:pPr>
      <w:r w:rsidRPr="00110C05">
        <w:rPr>
          <w:color w:val="auto"/>
        </w:rPr>
        <w:t>kui tekib vajadus hankelepingu eset olulisel määral muuta;</w:t>
      </w:r>
    </w:p>
    <w:p w14:paraId="0514F94C" w14:textId="77777777" w:rsidR="00A1269B" w:rsidRPr="00110C05" w:rsidRDefault="00A1269B" w:rsidP="00A1269B">
      <w:pPr>
        <w:pStyle w:val="Default"/>
        <w:numPr>
          <w:ilvl w:val="2"/>
          <w:numId w:val="11"/>
        </w:numPr>
        <w:jc w:val="both"/>
        <w:rPr>
          <w:color w:val="auto"/>
        </w:rPr>
      </w:pPr>
      <w:r w:rsidRPr="00110C05">
        <w:rPr>
          <w:color w:val="auto"/>
        </w:rPr>
        <w:t>kui väikeostu läbiviimise aluseks olevad tingimused on oluliselt muutunud ja seetõttu osutub hankelepingu sõlmimine mittevajalikuks või võimatuks;</w:t>
      </w:r>
    </w:p>
    <w:p w14:paraId="163CBF53" w14:textId="4C7B5BCB" w:rsidR="00A1269B" w:rsidRDefault="00A1269B" w:rsidP="00A1269B">
      <w:pPr>
        <w:pStyle w:val="Default"/>
        <w:numPr>
          <w:ilvl w:val="2"/>
          <w:numId w:val="11"/>
        </w:numPr>
        <w:jc w:val="both"/>
        <w:rPr>
          <w:color w:val="auto"/>
        </w:rPr>
      </w:pPr>
      <w:r w:rsidRPr="00110C05">
        <w:rPr>
          <w:color w:val="auto"/>
        </w:rPr>
        <w:t>kui väikeostu läbiviimisel ilmnenud ebakõlasid ei ole võimalik kõrvaldada ega menetlust seetõttu ka õiguspäraselt lõpule viia.</w:t>
      </w:r>
    </w:p>
    <w:p w14:paraId="337D5869" w14:textId="6AB58092" w:rsidR="001E5780" w:rsidRDefault="001E5780" w:rsidP="001E5780">
      <w:pPr>
        <w:pStyle w:val="Default"/>
        <w:jc w:val="both"/>
        <w:rPr>
          <w:color w:val="auto"/>
        </w:rPr>
      </w:pPr>
    </w:p>
    <w:p w14:paraId="5012455E" w14:textId="77777777" w:rsidR="001E5780" w:rsidRDefault="001E5780" w:rsidP="001E5780">
      <w:pPr>
        <w:pStyle w:val="Default"/>
        <w:jc w:val="both"/>
        <w:rPr>
          <w:color w:val="auto"/>
        </w:rPr>
      </w:pPr>
    </w:p>
    <w:p w14:paraId="6B90E6D1" w14:textId="77777777" w:rsidR="001E5780" w:rsidRPr="00110C05" w:rsidRDefault="001E5780" w:rsidP="001E5780">
      <w:pPr>
        <w:pStyle w:val="Alapealkiri1"/>
        <w:numPr>
          <w:ilvl w:val="0"/>
          <w:numId w:val="11"/>
        </w:numPr>
        <w:tabs>
          <w:tab w:val="left" w:pos="993"/>
        </w:tabs>
        <w:rPr>
          <w:rFonts w:ascii="Times New Roman" w:hAnsi="Times New Roman" w:cs="Times New Roman"/>
          <w:sz w:val="24"/>
          <w:szCs w:val="24"/>
        </w:rPr>
      </w:pPr>
      <w:r w:rsidRPr="00110C05">
        <w:rPr>
          <w:rFonts w:ascii="Times New Roman" w:hAnsi="Times New Roman" w:cs="Times New Roman"/>
          <w:sz w:val="24"/>
          <w:szCs w:val="24"/>
        </w:rPr>
        <w:t>Konfidentsiaalsus</w:t>
      </w:r>
    </w:p>
    <w:p w14:paraId="30F3CF1F" w14:textId="77777777" w:rsidR="001E5780" w:rsidRPr="00110C05" w:rsidRDefault="001E5780" w:rsidP="001E5780">
      <w:pPr>
        <w:pStyle w:val="Default"/>
        <w:numPr>
          <w:ilvl w:val="1"/>
          <w:numId w:val="11"/>
        </w:numPr>
        <w:jc w:val="both"/>
        <w:rPr>
          <w:color w:val="auto"/>
        </w:rPr>
      </w:pPr>
      <w:r w:rsidRPr="00110C05">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145DA105" w14:textId="77777777" w:rsidR="001E5780" w:rsidRPr="00110C05" w:rsidRDefault="001E5780" w:rsidP="001E5780">
      <w:pPr>
        <w:pStyle w:val="Default"/>
        <w:numPr>
          <w:ilvl w:val="1"/>
          <w:numId w:val="11"/>
        </w:numPr>
        <w:jc w:val="both"/>
        <w:rPr>
          <w:color w:val="auto"/>
        </w:rPr>
      </w:pPr>
      <w:r w:rsidRPr="00110C05">
        <w:rPr>
          <w:color w:val="auto"/>
        </w:rPr>
        <w:t>Täitja on kohustatud käsitlema lepingu täitmisel temale teatavaks saanud informatsiooni hankija ja tema tegevuse kohta konfidentsiaalsena. Täitja on kohustatud kaitsma temale üle antud andmetekandjate, lepingu täitmise käigus või juhuslikult teatavaks saanud informatsiooni konfidentsiaalsust. Vastavasisulise informatsiooni müümist, pakkumist või levitamist täitja või temaga seotud isiku poolt käsitletakse kui lepingu olulist rikkumist.</w:t>
      </w:r>
    </w:p>
    <w:p w14:paraId="66F6FE9A" w14:textId="77777777" w:rsidR="001E5780" w:rsidRDefault="001E5780" w:rsidP="001E5780">
      <w:pPr>
        <w:pStyle w:val="Default"/>
        <w:numPr>
          <w:ilvl w:val="1"/>
          <w:numId w:val="11"/>
        </w:numPr>
        <w:jc w:val="both"/>
        <w:rPr>
          <w:color w:val="auto"/>
        </w:rPr>
      </w:pPr>
      <w:r w:rsidRPr="00110C05">
        <w:rPr>
          <w:color w:val="auto"/>
        </w:rPr>
        <w:t>Täitja kohustub lepingu täitmiseks rakendama organisatsioonilisi, füüsilisi ja infotehnoloogilisi turvameetmeid lepingu alusel temale mistahes viisil teatavaks saanud konfidentsiaalsete andmete kaitseks.</w:t>
      </w:r>
    </w:p>
    <w:p w14:paraId="2C924638" w14:textId="77777777" w:rsidR="001E5780" w:rsidRPr="00F97FBD" w:rsidRDefault="001E5780" w:rsidP="001E5780">
      <w:pPr>
        <w:pStyle w:val="Default"/>
        <w:numPr>
          <w:ilvl w:val="1"/>
          <w:numId w:val="11"/>
        </w:numPr>
        <w:jc w:val="both"/>
        <w:rPr>
          <w:color w:val="auto"/>
        </w:rPr>
      </w:pPr>
      <w:r>
        <w:rPr>
          <w:color w:val="auto"/>
        </w:rPr>
        <w:t xml:space="preserve">Täitja kohustub </w:t>
      </w:r>
      <w:r w:rsidRPr="009F6611">
        <w:rPr>
          <w:color w:val="auto"/>
        </w:rPr>
        <w:t>mitte kasutama konfidentsiaalset teavet isikliku kasu saamise eesmärgil või kolmandate isikute huvides.</w:t>
      </w:r>
    </w:p>
    <w:p w14:paraId="21DB0D10" w14:textId="7FAFADD7" w:rsidR="001E5780" w:rsidRPr="001E5780" w:rsidRDefault="001E5780" w:rsidP="001E5780">
      <w:pPr>
        <w:pStyle w:val="Default"/>
        <w:numPr>
          <w:ilvl w:val="1"/>
          <w:numId w:val="11"/>
        </w:numPr>
        <w:jc w:val="both"/>
        <w:rPr>
          <w:color w:val="auto"/>
        </w:rPr>
      </w:pPr>
      <w:r w:rsidRPr="00110C05">
        <w:rPr>
          <w:color w:val="auto"/>
        </w:rPr>
        <w:t>Konfidentsiaalsusnõue on tähtajatu.</w:t>
      </w:r>
    </w:p>
    <w:p w14:paraId="159B8384" w14:textId="41B4BA46" w:rsidR="00005D38" w:rsidRPr="00A903EE" w:rsidRDefault="00005D38" w:rsidP="00D63DE2">
      <w:pPr>
        <w:pStyle w:val="Default"/>
        <w:jc w:val="both"/>
        <w:rPr>
          <w:color w:val="auto"/>
        </w:rPr>
      </w:pPr>
    </w:p>
    <w:p w14:paraId="327D6607" w14:textId="550F27F9" w:rsidR="00D93C52" w:rsidRPr="00A903EE" w:rsidRDefault="00D93C52" w:rsidP="00D93C52"/>
    <w:p w14:paraId="0FBFD73D" w14:textId="77777777" w:rsidR="0081656C" w:rsidRPr="00A903EE"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A903EE" w14:paraId="1E814DA5" w14:textId="77777777" w:rsidTr="0081656C">
        <w:tc>
          <w:tcPr>
            <w:tcW w:w="4530" w:type="dxa"/>
          </w:tcPr>
          <w:p w14:paraId="4DB0F795" w14:textId="77777777" w:rsidR="0081656C" w:rsidRPr="00A903EE" w:rsidRDefault="0081656C" w:rsidP="00102A9D">
            <w:pPr>
              <w:widowControl/>
              <w:suppressAutoHyphens w:val="0"/>
              <w:jc w:val="left"/>
            </w:pPr>
            <w:r w:rsidRPr="00A903EE">
              <w:t>Lugupidamisega</w:t>
            </w:r>
          </w:p>
          <w:p w14:paraId="1916E05B" w14:textId="77777777" w:rsidR="0081656C" w:rsidRPr="00A903EE" w:rsidRDefault="0081656C" w:rsidP="00102A9D">
            <w:pPr>
              <w:widowControl/>
              <w:suppressAutoHyphens w:val="0"/>
              <w:jc w:val="left"/>
            </w:pPr>
          </w:p>
          <w:p w14:paraId="1DA9B2A4" w14:textId="77777777" w:rsidR="0081656C" w:rsidRPr="00A903EE" w:rsidRDefault="0081656C" w:rsidP="00102A9D">
            <w:pPr>
              <w:widowControl/>
              <w:suppressAutoHyphens w:val="0"/>
              <w:jc w:val="left"/>
            </w:pPr>
            <w:r w:rsidRPr="00A903EE">
              <w:t>(allkirjastatud digitaalselt)</w:t>
            </w:r>
          </w:p>
          <w:p w14:paraId="1236FE2B" w14:textId="77777777" w:rsidR="0081656C" w:rsidRPr="00A903EE" w:rsidRDefault="0081656C" w:rsidP="00102A9D">
            <w:pPr>
              <w:widowControl/>
              <w:suppressAutoHyphens w:val="0"/>
              <w:jc w:val="left"/>
            </w:pPr>
          </w:p>
          <w:p w14:paraId="62C18120" w14:textId="182F0492" w:rsidR="0081656C" w:rsidRPr="00A903EE" w:rsidRDefault="0013548C" w:rsidP="00102A9D">
            <w:pPr>
              <w:widowControl/>
              <w:suppressAutoHyphens w:val="0"/>
              <w:jc w:val="left"/>
            </w:pPr>
            <w:fldSimple w:instr=" delta_signerName  \* MERGEFORMAT">
              <w:r>
                <w:t>Ron Ojava</w:t>
              </w:r>
            </w:fldSimple>
          </w:p>
          <w:p w14:paraId="1ADEF6B4" w14:textId="49B42889" w:rsidR="0081656C" w:rsidRPr="00A903EE" w:rsidRDefault="0013548C" w:rsidP="00102A9D">
            <w:pPr>
              <w:widowControl/>
              <w:suppressAutoHyphens w:val="0"/>
              <w:jc w:val="left"/>
            </w:pPr>
            <w:fldSimple w:instr=" delta_signerJobTitle  \* MERGEFORMAT">
              <w:r>
                <w:t>grupijuht</w:t>
              </w:r>
            </w:fldSimple>
          </w:p>
        </w:tc>
        <w:tc>
          <w:tcPr>
            <w:tcW w:w="4531" w:type="dxa"/>
          </w:tcPr>
          <w:p w14:paraId="76AB2397" w14:textId="77777777" w:rsidR="0081656C" w:rsidRPr="00A903EE" w:rsidRDefault="0081656C" w:rsidP="00102A9D">
            <w:pPr>
              <w:widowControl/>
              <w:suppressAutoHyphens w:val="0"/>
              <w:jc w:val="left"/>
            </w:pPr>
          </w:p>
        </w:tc>
      </w:tr>
    </w:tbl>
    <w:p w14:paraId="618C7B18" w14:textId="77777777" w:rsidR="00A13FDE" w:rsidRPr="00A903EE" w:rsidRDefault="00A13FDE" w:rsidP="00102A9D">
      <w:pPr>
        <w:widowControl/>
        <w:suppressAutoHyphens w:val="0"/>
        <w:jc w:val="left"/>
      </w:pPr>
    </w:p>
    <w:p w14:paraId="655B44D9" w14:textId="77777777" w:rsidR="008D18BD" w:rsidRPr="00A903EE" w:rsidRDefault="008D18BD" w:rsidP="00102A9D">
      <w:pPr>
        <w:widowControl/>
        <w:suppressAutoHyphens w:val="0"/>
        <w:jc w:val="left"/>
      </w:pPr>
    </w:p>
    <w:p w14:paraId="796D1FB5" w14:textId="5AE8018B" w:rsidR="008D18BD" w:rsidRPr="00A903EE" w:rsidRDefault="0011044F" w:rsidP="00102A9D">
      <w:pPr>
        <w:widowControl/>
        <w:suppressAutoHyphens w:val="0"/>
        <w:jc w:val="left"/>
      </w:pPr>
      <w:r w:rsidRPr="00A903EE">
        <w:t>Lisa</w:t>
      </w:r>
      <w:r w:rsidR="002F49F0" w:rsidRPr="00A903EE">
        <w:t xml:space="preserve"> </w:t>
      </w:r>
      <w:r w:rsidR="002F49F0" w:rsidRPr="00A903EE">
        <w:rPr>
          <w:color w:val="FF0000"/>
        </w:rPr>
        <w:t>(</w:t>
      </w:r>
      <w:r w:rsidR="002F49F0" w:rsidRPr="00A903EE">
        <w:rPr>
          <w:i/>
          <w:color w:val="FF0000"/>
        </w:rPr>
        <w:t>vajadusel</w:t>
      </w:r>
      <w:r w:rsidR="002F49F0" w:rsidRPr="00A903EE">
        <w:rPr>
          <w:color w:val="FF0000"/>
        </w:rPr>
        <w:t>)</w:t>
      </w:r>
      <w:r w:rsidR="002F49F0" w:rsidRPr="00A903EE">
        <w:t xml:space="preserve">: </w:t>
      </w:r>
      <w:r w:rsidRPr="00A903EE">
        <w:t xml:space="preserve"> </w:t>
      </w:r>
    </w:p>
    <w:p w14:paraId="571D9F97" w14:textId="68B882A7" w:rsidR="008D18BD" w:rsidRPr="00A903EE" w:rsidRDefault="008D18BD" w:rsidP="00102A9D">
      <w:pPr>
        <w:widowControl/>
        <w:suppressAutoHyphens w:val="0"/>
        <w:jc w:val="left"/>
      </w:pPr>
    </w:p>
    <w:sectPr w:rsidR="008D18BD" w:rsidRPr="00A903EE" w:rsidSect="00A87B91">
      <w:headerReference w:type="default" r:id="rId10"/>
      <w:footerReference w:type="default" r:id="rId11"/>
      <w:footerReference w:type="first" r:id="rId12"/>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DF7E" w14:textId="77777777" w:rsidR="00B54370" w:rsidRDefault="00B54370" w:rsidP="00DF44DF">
      <w:r>
        <w:separator/>
      </w:r>
    </w:p>
  </w:endnote>
  <w:endnote w:type="continuationSeparator" w:id="0">
    <w:p w14:paraId="0C26DDA7" w14:textId="77777777" w:rsidR="00B54370" w:rsidRDefault="00B54370"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1DAF4A0C"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13548C">
      <w:rPr>
        <w:noProof/>
      </w:rPr>
      <w:t>3</w:t>
    </w:r>
    <w:r w:rsidRPr="00AD2EA7">
      <w:fldChar w:fldCharType="end"/>
    </w:r>
    <w:r w:rsidR="003B2A9C" w:rsidRPr="00AD2EA7">
      <w:t xml:space="preserve"> (</w:t>
    </w:r>
    <w:fldSimple w:instr=" NUMPAGES ">
      <w:r w:rsidR="0013548C">
        <w:rPr>
          <w:noProof/>
        </w:rPr>
        <w:t>3</w:t>
      </w:r>
    </w:fldSimple>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BD21" w14:textId="77777777" w:rsidR="00B54370" w:rsidRDefault="00B54370" w:rsidP="00DF44DF">
      <w:r>
        <w:separator/>
      </w:r>
    </w:p>
  </w:footnote>
  <w:footnote w:type="continuationSeparator" w:id="0">
    <w:p w14:paraId="102C7228" w14:textId="77777777" w:rsidR="00B54370" w:rsidRDefault="00B54370"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AC4"/>
    <w:multiLevelType w:val="hybridMultilevel"/>
    <w:tmpl w:val="7E62E1DC"/>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 w15:restartNumberingAfterBreak="0">
    <w:nsid w:val="06B62B43"/>
    <w:multiLevelType w:val="multilevel"/>
    <w:tmpl w:val="2DA6C6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3"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4"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5" w15:restartNumberingAfterBreak="0">
    <w:nsid w:val="49271B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A69A7"/>
    <w:multiLevelType w:val="hybridMultilevel"/>
    <w:tmpl w:val="FFD41290"/>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F9264F6"/>
    <w:multiLevelType w:val="multilevel"/>
    <w:tmpl w:val="AA6EE4B2"/>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start w:val="1"/>
      <w:numFmt w:val="bullet"/>
      <w:lvlText w:val="o"/>
      <w:lvlJc w:val="left"/>
      <w:pPr>
        <w:ind w:left="2230" w:hanging="360"/>
      </w:pPr>
      <w:rPr>
        <w:rFonts w:ascii="Courier New" w:hAnsi="Courier New" w:cs="Courier New" w:hint="default"/>
      </w:rPr>
    </w:lvl>
    <w:lvl w:ilvl="2" w:tplc="04250005">
      <w:start w:val="1"/>
      <w:numFmt w:val="bullet"/>
      <w:lvlText w:val=""/>
      <w:lvlJc w:val="left"/>
      <w:pPr>
        <w:ind w:left="2950" w:hanging="360"/>
      </w:pPr>
      <w:rPr>
        <w:rFonts w:ascii="Wingdings" w:hAnsi="Wingdings" w:hint="default"/>
      </w:rPr>
    </w:lvl>
    <w:lvl w:ilvl="3" w:tplc="04250001">
      <w:start w:val="1"/>
      <w:numFmt w:val="bullet"/>
      <w:lvlText w:val=""/>
      <w:lvlJc w:val="left"/>
      <w:pPr>
        <w:ind w:left="3670" w:hanging="360"/>
      </w:pPr>
      <w:rPr>
        <w:rFonts w:ascii="Symbol" w:hAnsi="Symbol" w:hint="default"/>
      </w:rPr>
    </w:lvl>
    <w:lvl w:ilvl="4" w:tplc="04250003">
      <w:start w:val="1"/>
      <w:numFmt w:val="bullet"/>
      <w:lvlText w:val="o"/>
      <w:lvlJc w:val="left"/>
      <w:pPr>
        <w:ind w:left="4390" w:hanging="360"/>
      </w:pPr>
      <w:rPr>
        <w:rFonts w:ascii="Courier New" w:hAnsi="Courier New" w:cs="Courier New" w:hint="default"/>
      </w:rPr>
    </w:lvl>
    <w:lvl w:ilvl="5" w:tplc="04250005">
      <w:start w:val="1"/>
      <w:numFmt w:val="bullet"/>
      <w:lvlText w:val=""/>
      <w:lvlJc w:val="left"/>
      <w:pPr>
        <w:ind w:left="5110" w:hanging="360"/>
      </w:pPr>
      <w:rPr>
        <w:rFonts w:ascii="Wingdings" w:hAnsi="Wingdings" w:hint="default"/>
      </w:rPr>
    </w:lvl>
    <w:lvl w:ilvl="6" w:tplc="04250001">
      <w:start w:val="1"/>
      <w:numFmt w:val="bullet"/>
      <w:lvlText w:val=""/>
      <w:lvlJc w:val="left"/>
      <w:pPr>
        <w:ind w:left="5830" w:hanging="360"/>
      </w:pPr>
      <w:rPr>
        <w:rFonts w:ascii="Symbol" w:hAnsi="Symbol" w:hint="default"/>
      </w:rPr>
    </w:lvl>
    <w:lvl w:ilvl="7" w:tplc="04250003">
      <w:start w:val="1"/>
      <w:numFmt w:val="bullet"/>
      <w:lvlText w:val="o"/>
      <w:lvlJc w:val="left"/>
      <w:pPr>
        <w:ind w:left="6550" w:hanging="360"/>
      </w:pPr>
      <w:rPr>
        <w:rFonts w:ascii="Courier New" w:hAnsi="Courier New" w:cs="Courier New" w:hint="default"/>
      </w:rPr>
    </w:lvl>
    <w:lvl w:ilvl="8" w:tplc="04250005">
      <w:start w:val="1"/>
      <w:numFmt w:val="bullet"/>
      <w:lvlText w:val=""/>
      <w:lvlJc w:val="left"/>
      <w:pPr>
        <w:ind w:left="7270" w:hanging="360"/>
      </w:pPr>
      <w:rPr>
        <w:rFonts w:ascii="Wingdings" w:hAnsi="Wingdings" w:hint="default"/>
      </w:rPr>
    </w:lvl>
  </w:abstractNum>
  <w:abstractNum w:abstractNumId="10"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4"/>
  </w:num>
  <w:num w:numId="2">
    <w:abstractNumId w:val="3"/>
  </w:num>
  <w:num w:numId="3">
    <w:abstractNumId w:val="7"/>
  </w:num>
  <w:num w:numId="4">
    <w:abstractNumId w:val="10"/>
  </w:num>
  <w:num w:numId="5">
    <w:abstractNumId w:val="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5"/>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5D38"/>
    <w:rsid w:val="000210AB"/>
    <w:rsid w:val="00022687"/>
    <w:rsid w:val="00060947"/>
    <w:rsid w:val="00090E1F"/>
    <w:rsid w:val="00090F00"/>
    <w:rsid w:val="000913FC"/>
    <w:rsid w:val="000A17B5"/>
    <w:rsid w:val="000A6A73"/>
    <w:rsid w:val="000B0D5C"/>
    <w:rsid w:val="000B1A5B"/>
    <w:rsid w:val="000E16C8"/>
    <w:rsid w:val="000F694E"/>
    <w:rsid w:val="00102A9D"/>
    <w:rsid w:val="00104FDB"/>
    <w:rsid w:val="001072FC"/>
    <w:rsid w:val="0011044F"/>
    <w:rsid w:val="00110C05"/>
    <w:rsid w:val="00124999"/>
    <w:rsid w:val="0013548C"/>
    <w:rsid w:val="00135B61"/>
    <w:rsid w:val="001468EF"/>
    <w:rsid w:val="001523BD"/>
    <w:rsid w:val="00186760"/>
    <w:rsid w:val="001A5BEA"/>
    <w:rsid w:val="001A7D04"/>
    <w:rsid w:val="001D287E"/>
    <w:rsid w:val="001D4CFB"/>
    <w:rsid w:val="001E36A8"/>
    <w:rsid w:val="001E5780"/>
    <w:rsid w:val="002008A2"/>
    <w:rsid w:val="00224BA2"/>
    <w:rsid w:val="002411AD"/>
    <w:rsid w:val="00261BF9"/>
    <w:rsid w:val="0028274B"/>
    <w:rsid w:val="002835BB"/>
    <w:rsid w:val="00287124"/>
    <w:rsid w:val="00290BED"/>
    <w:rsid w:val="00293449"/>
    <w:rsid w:val="002A4933"/>
    <w:rsid w:val="002B10D6"/>
    <w:rsid w:val="002C2C56"/>
    <w:rsid w:val="002F2414"/>
    <w:rsid w:val="002F254F"/>
    <w:rsid w:val="002F49F0"/>
    <w:rsid w:val="00316403"/>
    <w:rsid w:val="0032062E"/>
    <w:rsid w:val="00344461"/>
    <w:rsid w:val="0034719C"/>
    <w:rsid w:val="00354059"/>
    <w:rsid w:val="00384553"/>
    <w:rsid w:val="00394DCB"/>
    <w:rsid w:val="003B2A9C"/>
    <w:rsid w:val="00407E82"/>
    <w:rsid w:val="004266DB"/>
    <w:rsid w:val="00435A13"/>
    <w:rsid w:val="0044084D"/>
    <w:rsid w:val="004757C7"/>
    <w:rsid w:val="004B5B24"/>
    <w:rsid w:val="004C1374"/>
    <w:rsid w:val="004C1391"/>
    <w:rsid w:val="004D6E31"/>
    <w:rsid w:val="004F1DEC"/>
    <w:rsid w:val="00530F52"/>
    <w:rsid w:val="00537864"/>
    <w:rsid w:val="00545009"/>
    <w:rsid w:val="00546204"/>
    <w:rsid w:val="00546A33"/>
    <w:rsid w:val="00551E24"/>
    <w:rsid w:val="00551E44"/>
    <w:rsid w:val="00557534"/>
    <w:rsid w:val="00560A92"/>
    <w:rsid w:val="00564569"/>
    <w:rsid w:val="005674A6"/>
    <w:rsid w:val="00577791"/>
    <w:rsid w:val="005B5CE1"/>
    <w:rsid w:val="005E3AED"/>
    <w:rsid w:val="005E45BB"/>
    <w:rsid w:val="005F1D40"/>
    <w:rsid w:val="005F3EC4"/>
    <w:rsid w:val="00602834"/>
    <w:rsid w:val="006042DC"/>
    <w:rsid w:val="00605AA1"/>
    <w:rsid w:val="00620A16"/>
    <w:rsid w:val="00675243"/>
    <w:rsid w:val="00677F8C"/>
    <w:rsid w:val="00680609"/>
    <w:rsid w:val="006A01AC"/>
    <w:rsid w:val="006B2C95"/>
    <w:rsid w:val="006C347A"/>
    <w:rsid w:val="006D7098"/>
    <w:rsid w:val="006E16BD"/>
    <w:rsid w:val="006E7691"/>
    <w:rsid w:val="006F3BB9"/>
    <w:rsid w:val="006F72D7"/>
    <w:rsid w:val="007056E1"/>
    <w:rsid w:val="00713327"/>
    <w:rsid w:val="0074272B"/>
    <w:rsid w:val="00745BB4"/>
    <w:rsid w:val="0075695A"/>
    <w:rsid w:val="00773D49"/>
    <w:rsid w:val="00775AE8"/>
    <w:rsid w:val="0079399D"/>
    <w:rsid w:val="007A1DE8"/>
    <w:rsid w:val="007A6538"/>
    <w:rsid w:val="007C7899"/>
    <w:rsid w:val="007D54FC"/>
    <w:rsid w:val="0081656C"/>
    <w:rsid w:val="00835858"/>
    <w:rsid w:val="00854055"/>
    <w:rsid w:val="00876F6E"/>
    <w:rsid w:val="00887298"/>
    <w:rsid w:val="008919F2"/>
    <w:rsid w:val="008A0FBD"/>
    <w:rsid w:val="008A5628"/>
    <w:rsid w:val="008B041F"/>
    <w:rsid w:val="008B5CCC"/>
    <w:rsid w:val="008D18BD"/>
    <w:rsid w:val="008D4634"/>
    <w:rsid w:val="008E355A"/>
    <w:rsid w:val="008E625B"/>
    <w:rsid w:val="008F0B50"/>
    <w:rsid w:val="00904F2F"/>
    <w:rsid w:val="0091786B"/>
    <w:rsid w:val="009370A4"/>
    <w:rsid w:val="00937FCB"/>
    <w:rsid w:val="00944606"/>
    <w:rsid w:val="009620B3"/>
    <w:rsid w:val="009A387A"/>
    <w:rsid w:val="009A59FE"/>
    <w:rsid w:val="009C6C5E"/>
    <w:rsid w:val="009D1FB9"/>
    <w:rsid w:val="009E14DD"/>
    <w:rsid w:val="009E7F4A"/>
    <w:rsid w:val="009F2501"/>
    <w:rsid w:val="00A10E66"/>
    <w:rsid w:val="00A1244E"/>
    <w:rsid w:val="00A1269B"/>
    <w:rsid w:val="00A13FDE"/>
    <w:rsid w:val="00A3671D"/>
    <w:rsid w:val="00A504C8"/>
    <w:rsid w:val="00A62458"/>
    <w:rsid w:val="00A87B91"/>
    <w:rsid w:val="00A903EE"/>
    <w:rsid w:val="00A945AF"/>
    <w:rsid w:val="00AA0D8E"/>
    <w:rsid w:val="00AB6D7D"/>
    <w:rsid w:val="00AC4752"/>
    <w:rsid w:val="00AD2EA7"/>
    <w:rsid w:val="00AD5C87"/>
    <w:rsid w:val="00AE02A8"/>
    <w:rsid w:val="00B10A5C"/>
    <w:rsid w:val="00B16441"/>
    <w:rsid w:val="00B53486"/>
    <w:rsid w:val="00B54370"/>
    <w:rsid w:val="00B753B3"/>
    <w:rsid w:val="00B81ED4"/>
    <w:rsid w:val="00BB5533"/>
    <w:rsid w:val="00BC1A62"/>
    <w:rsid w:val="00BD078E"/>
    <w:rsid w:val="00BD3CCF"/>
    <w:rsid w:val="00BE0CC9"/>
    <w:rsid w:val="00BF4D7C"/>
    <w:rsid w:val="00C03F23"/>
    <w:rsid w:val="00C06C64"/>
    <w:rsid w:val="00C160D5"/>
    <w:rsid w:val="00C24F66"/>
    <w:rsid w:val="00C27B07"/>
    <w:rsid w:val="00C41FC5"/>
    <w:rsid w:val="00C43923"/>
    <w:rsid w:val="00C63290"/>
    <w:rsid w:val="00C752E7"/>
    <w:rsid w:val="00C83346"/>
    <w:rsid w:val="00C863F6"/>
    <w:rsid w:val="00C912E4"/>
    <w:rsid w:val="00C933DC"/>
    <w:rsid w:val="00CA583B"/>
    <w:rsid w:val="00CA5F0B"/>
    <w:rsid w:val="00CA7BC1"/>
    <w:rsid w:val="00CB7C47"/>
    <w:rsid w:val="00CD6D79"/>
    <w:rsid w:val="00CF2B77"/>
    <w:rsid w:val="00CF4303"/>
    <w:rsid w:val="00D14E45"/>
    <w:rsid w:val="00D40650"/>
    <w:rsid w:val="00D63DE2"/>
    <w:rsid w:val="00D93C52"/>
    <w:rsid w:val="00DA0F3A"/>
    <w:rsid w:val="00DB374A"/>
    <w:rsid w:val="00DC0B0C"/>
    <w:rsid w:val="00DF44DF"/>
    <w:rsid w:val="00E023F6"/>
    <w:rsid w:val="00E03DBB"/>
    <w:rsid w:val="00E04E9F"/>
    <w:rsid w:val="00E20283"/>
    <w:rsid w:val="00E75E4E"/>
    <w:rsid w:val="00EA4FF7"/>
    <w:rsid w:val="00ED2F0C"/>
    <w:rsid w:val="00F23725"/>
    <w:rsid w:val="00F25253"/>
    <w:rsid w:val="00F420A0"/>
    <w:rsid w:val="00F6299E"/>
    <w:rsid w:val="00F70EDE"/>
    <w:rsid w:val="00F91804"/>
    <w:rsid w:val="00F9645B"/>
    <w:rsid w:val="00F9773D"/>
    <w:rsid w:val="00FB7AEC"/>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E3A5C47B-6F09-44F2-87AE-9373813F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Loetelu,numbered,Bullet List,FooterText,List Paragraph1,Paragraphe de liste1,Bulletr List Paragraph,列出段落,列出段落1,List Paragraph2,List Paragraph21,Párrafo de lista1,Parágrafo da Lista1,リスト段落1,Listeafsnit1,bullet 1,Foo"/>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Loetelu Char,numbered Char,Bullet List Char,FooterText Char,List Paragraph1 Char,Paragraphe de liste1 Char,Bulletr List Paragraph Char,列出段落 Char,列出段落1 Char,List Paragraph2 Char,List Paragraph21 Char,リスト段落1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ojava@politsei.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4B9A958-CA7E-44DC-B60D-0996BCAD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DELTA</cp:lastModifiedBy>
  <cp:revision>2</cp:revision>
  <cp:lastPrinted>2014-04-03T10:06:00Z</cp:lastPrinted>
  <dcterms:created xsi:type="dcterms:W3CDTF">2024-10-10T13:09:00Z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